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r w:rsidRPr="00E178F0">
        <w:rPr>
          <w:rFonts w:ascii="Times New Roman" w:hAnsi="Times New Roman" w:cs="Times New Roman"/>
          <w:lang w:val="en-GB"/>
        </w:rPr>
        <w:t>RESEARCH PROPOSAL</w:t>
      </w:r>
    </w:p>
    <w:p w:rsidR="00545602" w:rsidRPr="00E178F0" w:rsidRDefault="00545602" w:rsidP="00E178F0">
      <w:pPr>
        <w:spacing w:line="360" w:lineRule="auto"/>
        <w:ind w:left="1416" w:firstLine="708"/>
        <w:jc w:val="center"/>
        <w:rPr>
          <w:rFonts w:ascii="Times New Roman" w:hAnsi="Times New Roman" w:cs="Times New Roman"/>
          <w:lang w:val="en-GB"/>
        </w:rPr>
      </w:pPr>
    </w:p>
    <w:p w:rsidR="00545602" w:rsidRPr="00E178F0" w:rsidRDefault="00545602" w:rsidP="00E178F0">
      <w:pPr>
        <w:tabs>
          <w:tab w:val="center" w:pos="4536"/>
          <w:tab w:val="left" w:pos="6045"/>
        </w:tabs>
        <w:spacing w:line="360" w:lineRule="auto"/>
        <w:rPr>
          <w:rFonts w:ascii="Times New Roman" w:hAnsi="Times New Roman" w:cs="Times New Roman"/>
          <w:b/>
          <w:lang w:val="en-GB"/>
        </w:rPr>
      </w:pPr>
      <w:r w:rsidRPr="00E178F0">
        <w:rPr>
          <w:rFonts w:ascii="Times New Roman" w:hAnsi="Times New Roman" w:cs="Times New Roman"/>
          <w:lang w:val="en-GB"/>
        </w:rPr>
        <w:tab/>
      </w:r>
      <w:r w:rsidR="00F07A31" w:rsidRPr="00E178F0">
        <w:rPr>
          <w:rFonts w:ascii="Times New Roman" w:hAnsi="Times New Roman" w:cs="Times New Roman"/>
          <w:b/>
          <w:lang w:val="en-GB"/>
        </w:rPr>
        <w:t>ENGLISH FOR ACADEMIC PURPOSES: EAP</w:t>
      </w:r>
      <w:r w:rsidRPr="00E178F0">
        <w:rPr>
          <w:rFonts w:ascii="Times New Roman" w:hAnsi="Times New Roman" w:cs="Times New Roman"/>
          <w:lang w:val="en-GB"/>
        </w:rPr>
        <w:tab/>
      </w:r>
    </w:p>
    <w:p w:rsidR="00545602" w:rsidRPr="00E178F0" w:rsidRDefault="00545602" w:rsidP="00E178F0">
      <w:pPr>
        <w:spacing w:line="360" w:lineRule="auto"/>
        <w:ind w:left="1416" w:firstLine="708"/>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b/>
          <w:lang w:val="en-GB"/>
        </w:rPr>
      </w:pPr>
      <w:r w:rsidRPr="00E178F0">
        <w:rPr>
          <w:rFonts w:ascii="Times New Roman" w:hAnsi="Times New Roman" w:cs="Times New Roman"/>
          <w:b/>
          <w:lang w:val="en-GB"/>
        </w:rPr>
        <w:t>Eren KAYA</w:t>
      </w:r>
    </w:p>
    <w:p w:rsidR="00545602" w:rsidRPr="00E178F0" w:rsidRDefault="00545602" w:rsidP="00E178F0">
      <w:pPr>
        <w:spacing w:line="360" w:lineRule="auto"/>
        <w:rPr>
          <w:rFonts w:ascii="Times New Roman" w:hAnsi="Times New Roman" w:cs="Times New Roman"/>
          <w:lang w:val="en-GB"/>
        </w:rPr>
      </w:pPr>
    </w:p>
    <w:p w:rsidR="00545602" w:rsidRPr="00E178F0" w:rsidRDefault="00545602" w:rsidP="00E178F0">
      <w:pPr>
        <w:spacing w:line="360" w:lineRule="auto"/>
        <w:rPr>
          <w:rFonts w:ascii="Times New Roman" w:hAnsi="Times New Roman" w:cs="Times New Roman"/>
          <w:lang w:val="en-GB"/>
        </w:rPr>
      </w:pPr>
    </w:p>
    <w:p w:rsidR="00545602" w:rsidRPr="00E178F0" w:rsidRDefault="00545602" w:rsidP="00E178F0">
      <w:pPr>
        <w:spacing w:line="360" w:lineRule="auto"/>
        <w:rPr>
          <w:rFonts w:ascii="Times New Roman" w:hAnsi="Times New Roman" w:cs="Times New Roman"/>
          <w:lang w:val="en-GB"/>
        </w:rPr>
      </w:pPr>
    </w:p>
    <w:p w:rsidR="00545602" w:rsidRPr="00E178F0" w:rsidRDefault="00545602" w:rsidP="00E178F0">
      <w:pPr>
        <w:spacing w:line="360" w:lineRule="auto"/>
        <w:rPr>
          <w:rFonts w:ascii="Times New Roman" w:hAnsi="Times New Roman" w:cs="Times New Roman"/>
          <w:lang w:val="en-GB"/>
        </w:rPr>
      </w:pPr>
    </w:p>
    <w:p w:rsidR="006E4A48" w:rsidRPr="00E178F0" w:rsidRDefault="006E4A48" w:rsidP="00E178F0">
      <w:pPr>
        <w:spacing w:line="360" w:lineRule="auto"/>
        <w:rPr>
          <w:rFonts w:ascii="Times New Roman" w:hAnsi="Times New Roman" w:cs="Times New Roman"/>
          <w:lang w:val="en-GB"/>
        </w:rPr>
      </w:pPr>
    </w:p>
    <w:p w:rsidR="00545602" w:rsidRPr="00E178F0" w:rsidRDefault="00545602" w:rsidP="00E178F0">
      <w:pPr>
        <w:spacing w:line="360" w:lineRule="auto"/>
        <w:rPr>
          <w:rFonts w:ascii="Times New Roman" w:hAnsi="Times New Roman" w:cs="Times New Roman"/>
          <w:lang w:val="en-GB"/>
        </w:rPr>
      </w:pPr>
    </w:p>
    <w:p w:rsidR="00545602" w:rsidRPr="00E178F0" w:rsidRDefault="00E178F0" w:rsidP="00E178F0">
      <w:pPr>
        <w:spacing w:line="360" w:lineRule="auto"/>
        <w:jc w:val="center"/>
        <w:rPr>
          <w:rFonts w:ascii="Times New Roman" w:hAnsi="Times New Roman" w:cs="Times New Roman"/>
          <w:lang w:val="en-GB"/>
        </w:rPr>
      </w:pPr>
      <w:r w:rsidRPr="00E178F0">
        <w:rPr>
          <w:rFonts w:ascii="Times New Roman" w:hAnsi="Times New Roman" w:cs="Times New Roman"/>
          <w:lang w:val="en-GB"/>
        </w:rPr>
        <w:t>24</w:t>
      </w:r>
      <w:r w:rsidR="00545602" w:rsidRPr="00E178F0">
        <w:rPr>
          <w:rFonts w:ascii="Times New Roman" w:hAnsi="Times New Roman" w:cs="Times New Roman"/>
          <w:lang w:val="en-GB"/>
        </w:rPr>
        <w:t>.03.2015</w:t>
      </w: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r w:rsidRPr="00E178F0">
        <w:rPr>
          <w:rFonts w:ascii="Times New Roman" w:hAnsi="Times New Roman" w:cs="Times New Roman"/>
          <w:lang w:val="en-GB"/>
        </w:rPr>
        <w:t>IDE 1022 Research Writing in ELT</w:t>
      </w:r>
    </w:p>
    <w:p w:rsidR="00545602" w:rsidRPr="00E178F0" w:rsidRDefault="00545602" w:rsidP="00E178F0">
      <w:pPr>
        <w:spacing w:line="360" w:lineRule="auto"/>
        <w:jc w:val="center"/>
        <w:rPr>
          <w:rFonts w:ascii="Times New Roman" w:hAnsi="Times New Roman" w:cs="Times New Roman"/>
          <w:lang w:val="en-GB"/>
        </w:rPr>
      </w:pPr>
      <w:r w:rsidRPr="00E178F0">
        <w:rPr>
          <w:rFonts w:ascii="Times New Roman" w:hAnsi="Times New Roman" w:cs="Times New Roman"/>
          <w:lang w:val="en-GB"/>
        </w:rPr>
        <w:t>Submitted to</w:t>
      </w:r>
    </w:p>
    <w:p w:rsidR="00545602" w:rsidRPr="00E178F0" w:rsidRDefault="00545602" w:rsidP="00E178F0">
      <w:pPr>
        <w:spacing w:line="360" w:lineRule="auto"/>
        <w:jc w:val="center"/>
        <w:rPr>
          <w:rFonts w:ascii="Times New Roman" w:hAnsi="Times New Roman" w:cs="Times New Roman"/>
          <w:lang w:val="en-GB"/>
        </w:rPr>
      </w:pPr>
    </w:p>
    <w:p w:rsidR="00545602" w:rsidRPr="00E178F0" w:rsidRDefault="00545602" w:rsidP="00E178F0">
      <w:pPr>
        <w:spacing w:line="360" w:lineRule="auto"/>
        <w:jc w:val="center"/>
        <w:rPr>
          <w:rFonts w:ascii="Times New Roman" w:hAnsi="Times New Roman" w:cs="Times New Roman"/>
          <w:lang w:val="en-GB"/>
        </w:rPr>
      </w:pPr>
      <w:r w:rsidRPr="00E178F0">
        <w:rPr>
          <w:rFonts w:ascii="Times New Roman" w:hAnsi="Times New Roman" w:cs="Times New Roman"/>
          <w:lang w:val="en-GB"/>
        </w:rPr>
        <w:t>Yrd. Doç. Dr. Elif Demirel</w:t>
      </w:r>
    </w:p>
    <w:p w:rsidR="00545602" w:rsidRPr="00E178F0" w:rsidRDefault="00545602" w:rsidP="00E178F0">
      <w:pPr>
        <w:spacing w:line="360" w:lineRule="auto"/>
        <w:rPr>
          <w:lang w:val="en-GB"/>
        </w:rPr>
      </w:pPr>
    </w:p>
    <w:p w:rsidR="00F07A31" w:rsidRPr="00E178F0" w:rsidRDefault="00F07A31" w:rsidP="00E178F0">
      <w:pPr>
        <w:spacing w:line="360" w:lineRule="auto"/>
        <w:rPr>
          <w:rFonts w:ascii="Times New Roman" w:hAnsi="Times New Roman" w:cs="Times New Roman"/>
          <w:b/>
          <w:lang w:val="en-GB"/>
        </w:rPr>
      </w:pPr>
    </w:p>
    <w:p w:rsidR="00A0357C" w:rsidRPr="00E178F0" w:rsidRDefault="00A0357C" w:rsidP="00E178F0">
      <w:pPr>
        <w:spacing w:line="360" w:lineRule="auto"/>
        <w:ind w:firstLine="705"/>
        <w:rPr>
          <w:rFonts w:ascii="Times New Roman" w:hAnsi="Times New Roman" w:cs="Times New Roman"/>
          <w:b/>
          <w:lang w:val="en-GB"/>
        </w:rPr>
      </w:pPr>
      <w:r w:rsidRPr="00E178F0">
        <w:rPr>
          <w:rFonts w:ascii="Times New Roman" w:hAnsi="Times New Roman" w:cs="Times New Roman"/>
          <w:b/>
          <w:lang w:val="en-GB"/>
        </w:rPr>
        <w:lastRenderedPageBreak/>
        <w:t>Abstract</w:t>
      </w:r>
    </w:p>
    <w:p w:rsidR="00162539" w:rsidRPr="00E178F0" w:rsidRDefault="000C749C" w:rsidP="00E178F0">
      <w:pPr>
        <w:spacing w:line="360" w:lineRule="auto"/>
        <w:ind w:left="705"/>
        <w:rPr>
          <w:rFonts w:ascii="Times New Roman" w:hAnsi="Times New Roman" w:cs="Times New Roman"/>
          <w:lang w:val="en-GB"/>
        </w:rPr>
      </w:pPr>
      <w:r w:rsidRPr="00E178F0">
        <w:rPr>
          <w:rFonts w:ascii="Times New Roman" w:hAnsi="Times New Roman" w:cs="Times New Roman"/>
          <w:lang w:val="en-GB"/>
        </w:rPr>
        <w:t>This study looks at</w:t>
      </w:r>
      <w:r w:rsidR="009C53F2" w:rsidRPr="00E178F0">
        <w:rPr>
          <w:rFonts w:ascii="Times New Roman" w:hAnsi="Times New Roman" w:cs="Times New Roman"/>
          <w:lang w:val="en-GB"/>
        </w:rPr>
        <w:t xml:space="preserve"> English for academic </w:t>
      </w:r>
      <w:r w:rsidR="00AB2311" w:rsidRPr="00E178F0">
        <w:rPr>
          <w:rFonts w:ascii="Times New Roman" w:hAnsi="Times New Roman" w:cs="Times New Roman"/>
          <w:lang w:val="en-GB"/>
        </w:rPr>
        <w:t>purposes (</w:t>
      </w:r>
      <w:r w:rsidR="009C53F2" w:rsidRPr="00E178F0">
        <w:rPr>
          <w:rFonts w:ascii="Times New Roman" w:hAnsi="Times New Roman" w:cs="Times New Roman"/>
          <w:lang w:val="en-GB"/>
        </w:rPr>
        <w:t xml:space="preserve">EAP) </w:t>
      </w:r>
      <w:r w:rsidR="00AB2311" w:rsidRPr="00E178F0">
        <w:rPr>
          <w:rFonts w:ascii="Times New Roman" w:hAnsi="Times New Roman" w:cs="Times New Roman"/>
          <w:lang w:val="en-GB"/>
        </w:rPr>
        <w:t xml:space="preserve">by approaching to the issue from the </w:t>
      </w:r>
      <w:r w:rsidR="00AB2311" w:rsidRPr="00E178F0">
        <w:rPr>
          <w:rFonts w:ascii="Times New Roman" w:hAnsi="Times New Roman" w:cs="Times New Roman"/>
          <w:lang w:val="en-GB"/>
        </w:rPr>
        <w:tab/>
        <w:t>point of</w:t>
      </w:r>
      <w:r w:rsidR="00D82F42" w:rsidRPr="00E178F0">
        <w:rPr>
          <w:rFonts w:ascii="Times New Roman" w:hAnsi="Times New Roman" w:cs="Times New Roman"/>
          <w:lang w:val="en-GB"/>
        </w:rPr>
        <w:t xml:space="preserve"> </w:t>
      </w:r>
      <w:r w:rsidR="009E5C84" w:rsidRPr="00E178F0">
        <w:rPr>
          <w:rFonts w:ascii="Times New Roman" w:hAnsi="Times New Roman" w:cs="Times New Roman"/>
          <w:lang w:val="en-GB"/>
        </w:rPr>
        <w:t xml:space="preserve">the field: research and education by explaining the issue with detailed subtitles. </w:t>
      </w:r>
      <w:r w:rsidR="00180336" w:rsidRPr="00E178F0">
        <w:rPr>
          <w:rFonts w:ascii="Times New Roman" w:hAnsi="Times New Roman" w:cs="Times New Roman"/>
          <w:lang w:val="en-GB"/>
        </w:rPr>
        <w:t xml:space="preserve">This study taking both education and research parts as a base field in hand </w:t>
      </w:r>
      <w:r w:rsidR="00501CCF" w:rsidRPr="00E178F0">
        <w:rPr>
          <w:rFonts w:ascii="Times New Roman" w:hAnsi="Times New Roman" w:cs="Times New Roman"/>
          <w:lang w:val="en-GB"/>
        </w:rPr>
        <w:t xml:space="preserve">demonstrates the importance of </w:t>
      </w:r>
      <w:r w:rsidR="00BF6A39" w:rsidRPr="00E178F0">
        <w:rPr>
          <w:rFonts w:ascii="Times New Roman" w:hAnsi="Times New Roman" w:cs="Times New Roman"/>
          <w:lang w:val="en-GB"/>
        </w:rPr>
        <w:t>EAP. While all the educational institutions have different teaching techniques, Writing Across the Curriculum</w:t>
      </w:r>
      <w:r w:rsidR="00162539" w:rsidRPr="00E178F0">
        <w:rPr>
          <w:rFonts w:ascii="Times New Roman" w:hAnsi="Times New Roman" w:cs="Times New Roman"/>
          <w:lang w:val="en-GB"/>
        </w:rPr>
        <w:t xml:space="preserve"> (WAC)</w:t>
      </w:r>
      <w:r w:rsidR="00BF6A39" w:rsidRPr="00E178F0">
        <w:rPr>
          <w:rFonts w:ascii="Times New Roman" w:hAnsi="Times New Roman" w:cs="Times New Roman"/>
          <w:lang w:val="en-GB"/>
        </w:rPr>
        <w:t xml:space="preserve"> teachers, writing tutors, and teac</w:t>
      </w:r>
      <w:r w:rsidR="00162539" w:rsidRPr="00E178F0">
        <w:rPr>
          <w:rFonts w:ascii="Times New Roman" w:hAnsi="Times New Roman" w:cs="Times New Roman"/>
          <w:lang w:val="en-GB"/>
        </w:rPr>
        <w:t>hers of EAP have a shared goal: to help students learn how to write in an effective manner.</w:t>
      </w:r>
      <w:r w:rsidR="008E7BB1" w:rsidRPr="00E178F0">
        <w:rPr>
          <w:rFonts w:ascii="Times New Roman" w:hAnsi="Times New Roman" w:cs="Times New Roman"/>
          <w:lang w:val="en-GB"/>
        </w:rPr>
        <w:t xml:space="preserve"> This study explains EAP programme by departmentalizing it not only into education giving subtitles such as courses and their reflections to students, the examination systems (IELTS and</w:t>
      </w:r>
      <w:r w:rsidR="00CF2C0F" w:rsidRPr="00E178F0">
        <w:rPr>
          <w:rFonts w:ascii="Times New Roman" w:hAnsi="Times New Roman" w:cs="Times New Roman"/>
          <w:lang w:val="en-GB"/>
        </w:rPr>
        <w:t xml:space="preserve"> TOEFL), and academic vocabularies used in English language</w:t>
      </w:r>
      <w:r w:rsidR="008E7BB1" w:rsidRPr="00E178F0">
        <w:rPr>
          <w:rFonts w:ascii="Times New Roman" w:hAnsi="Times New Roman" w:cs="Times New Roman"/>
          <w:lang w:val="en-GB"/>
        </w:rPr>
        <w:t>, but also into research giving subtitles such as references (APA and MLA), scientific English, and databases from different sources.</w:t>
      </w:r>
      <w:r w:rsidR="0088423E" w:rsidRPr="00E178F0">
        <w:rPr>
          <w:rFonts w:ascii="Times New Roman" w:hAnsi="Times New Roman" w:cs="Times New Roman"/>
          <w:lang w:val="en-GB"/>
        </w:rPr>
        <w:t xml:space="preserve"> </w:t>
      </w:r>
      <w:r w:rsidR="004077BC" w:rsidRPr="00E178F0">
        <w:rPr>
          <w:rFonts w:ascii="Times New Roman" w:hAnsi="Times New Roman" w:cs="Times New Roman"/>
          <w:lang w:val="en-GB"/>
        </w:rPr>
        <w:t>Providing reference</w:t>
      </w:r>
      <w:r w:rsidR="0088423E" w:rsidRPr="00E178F0">
        <w:rPr>
          <w:rFonts w:ascii="Times New Roman" w:hAnsi="Times New Roman" w:cs="Times New Roman"/>
          <w:lang w:val="en-GB"/>
        </w:rPr>
        <w:t>, using the d</w:t>
      </w:r>
      <w:r w:rsidR="004077BC" w:rsidRPr="00E178F0">
        <w:rPr>
          <w:rFonts w:ascii="Times New Roman" w:hAnsi="Times New Roman" w:cs="Times New Roman"/>
          <w:lang w:val="en-GB"/>
        </w:rPr>
        <w:t>atabases from various material</w:t>
      </w:r>
      <w:r w:rsidR="0088423E" w:rsidRPr="00E178F0">
        <w:rPr>
          <w:rFonts w:ascii="Times New Roman" w:hAnsi="Times New Roman" w:cs="Times New Roman"/>
          <w:lang w:val="en-GB"/>
        </w:rPr>
        <w:t>, and using Engli</w:t>
      </w:r>
      <w:r w:rsidR="004077BC" w:rsidRPr="00E178F0">
        <w:rPr>
          <w:rFonts w:ascii="Times New Roman" w:hAnsi="Times New Roman" w:cs="Times New Roman"/>
          <w:lang w:val="en-GB"/>
        </w:rPr>
        <w:t>sh language in a scientific way have been pointed out as the key of English for academic purposes in the research part,</w:t>
      </w:r>
      <w:r w:rsidR="00917CAC" w:rsidRPr="00E178F0">
        <w:rPr>
          <w:rFonts w:ascii="Times New Roman" w:hAnsi="Times New Roman" w:cs="Times New Roman"/>
          <w:lang w:val="en-GB"/>
        </w:rPr>
        <w:t xml:space="preserve"> while courses taken and their reflections to students, examination systems such as IELTS and TOEFL, and academic vocabularies</w:t>
      </w:r>
      <w:r w:rsidR="003B12C8" w:rsidRPr="00E178F0">
        <w:rPr>
          <w:rFonts w:ascii="Times New Roman" w:hAnsi="Times New Roman" w:cs="Times New Roman"/>
          <w:lang w:val="en-GB"/>
        </w:rPr>
        <w:t xml:space="preserve"> have been pointed out as key of EAP in the education part.</w:t>
      </w:r>
      <w:r w:rsidR="00E92981" w:rsidRPr="00E178F0">
        <w:rPr>
          <w:rFonts w:ascii="Times New Roman" w:hAnsi="Times New Roman" w:cs="Times New Roman"/>
          <w:lang w:val="en-GB"/>
        </w:rPr>
        <w:t xml:space="preserve"> It is aimed to determine the usage of English language as an academic medium in </w:t>
      </w:r>
      <w:r w:rsidR="00F376A4" w:rsidRPr="00E178F0">
        <w:rPr>
          <w:rFonts w:ascii="Times New Roman" w:hAnsi="Times New Roman" w:cs="Times New Roman"/>
          <w:lang w:val="en-GB"/>
        </w:rPr>
        <w:t>these two fields.</w:t>
      </w:r>
      <w:r w:rsidR="00536F19" w:rsidRPr="00E178F0">
        <w:rPr>
          <w:rFonts w:ascii="Times New Roman" w:hAnsi="Times New Roman" w:cs="Times New Roman"/>
          <w:lang w:val="en-GB"/>
        </w:rPr>
        <w:t xml:space="preserve"> </w:t>
      </w: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091C69" w:rsidRDefault="00091C69" w:rsidP="00E178F0">
      <w:pPr>
        <w:spacing w:line="360" w:lineRule="auto"/>
        <w:ind w:left="705"/>
        <w:rPr>
          <w:rFonts w:ascii="Times New Roman" w:hAnsi="Times New Roman" w:cs="Times New Roman"/>
          <w:b/>
          <w:lang w:val="en-GB"/>
        </w:rPr>
      </w:pPr>
    </w:p>
    <w:p w:rsidR="00536F19" w:rsidRPr="00E178F0" w:rsidRDefault="00536F19" w:rsidP="00E178F0">
      <w:pPr>
        <w:spacing w:line="360" w:lineRule="auto"/>
        <w:ind w:left="705"/>
        <w:rPr>
          <w:rFonts w:ascii="Times New Roman" w:hAnsi="Times New Roman" w:cs="Times New Roman"/>
          <w:b/>
          <w:lang w:val="en-GB"/>
        </w:rPr>
      </w:pPr>
      <w:r w:rsidRPr="00E178F0">
        <w:rPr>
          <w:rFonts w:ascii="Times New Roman" w:hAnsi="Times New Roman" w:cs="Times New Roman"/>
          <w:b/>
          <w:lang w:val="en-GB"/>
        </w:rPr>
        <w:lastRenderedPageBreak/>
        <w:t>Introduction</w:t>
      </w:r>
    </w:p>
    <w:p w:rsidR="00536F19" w:rsidRPr="00E178F0" w:rsidRDefault="00870BA5" w:rsidP="00E178F0">
      <w:pPr>
        <w:spacing w:line="360" w:lineRule="auto"/>
        <w:ind w:left="705"/>
        <w:rPr>
          <w:rFonts w:ascii="Times New Roman" w:hAnsi="Times New Roman" w:cs="Times New Roman"/>
          <w:lang w:val="en-GB"/>
        </w:rPr>
      </w:pPr>
      <w:r w:rsidRPr="00E178F0">
        <w:rPr>
          <w:rFonts w:ascii="Times New Roman" w:hAnsi="Times New Roman" w:cs="Times New Roman"/>
          <w:lang w:val="en-GB"/>
        </w:rPr>
        <w:t xml:space="preserve">English for Academic Purposes (EAP) is a series of courses helping students develop their Academic English skills for their future life. It consists of many courses such as writing, reading, listening, speaking, and grammar. Chanock (2004) says that while they have different ways of teaching, WAC teachers, writing tutors, and teachers of EAP share a common goal that is to help students </w:t>
      </w:r>
      <w:r w:rsidR="00D67E8C" w:rsidRPr="00E178F0">
        <w:rPr>
          <w:rFonts w:ascii="Times New Roman" w:hAnsi="Times New Roman" w:cs="Times New Roman"/>
          <w:lang w:val="en-GB"/>
        </w:rPr>
        <w:t>learn how to write effectually. Hyland (2006) states that English for Academic Purposes is the language teaching profession’s response to these development, with the expansion of students studying in English leading to parallel increases in the number of EAP course and teachers</w:t>
      </w:r>
      <w:r w:rsidR="002A7052" w:rsidRPr="00E178F0">
        <w:rPr>
          <w:rFonts w:ascii="Times New Roman" w:hAnsi="Times New Roman" w:cs="Times New Roman"/>
          <w:lang w:val="en-GB"/>
        </w:rPr>
        <w:t xml:space="preserve"> and teachers. Ruiz-Garrido et al. (2010) say that if systematic attention to actual needs goes to be its hallmark, EAP programme will notably advance further in its study of specialised English expression and its development of impressive methodologies to teach it. The purpose of this study is to find out</w:t>
      </w:r>
      <w:r w:rsidR="00316F46" w:rsidRPr="00E178F0">
        <w:rPr>
          <w:rFonts w:ascii="Times New Roman" w:hAnsi="Times New Roman" w:cs="Times New Roman"/>
          <w:lang w:val="en-GB"/>
        </w:rPr>
        <w:t xml:space="preserve"> the usage of English language in the fields research and education. </w:t>
      </w:r>
      <w:r w:rsidR="00DC18B0" w:rsidRPr="00E178F0">
        <w:rPr>
          <w:rFonts w:ascii="Times New Roman" w:hAnsi="Times New Roman" w:cs="Times New Roman"/>
          <w:lang w:val="en-GB"/>
        </w:rPr>
        <w:t xml:space="preserve">The question that will be discussed is how English for Academic purposes </w:t>
      </w:r>
      <w:r w:rsidR="00102732" w:rsidRPr="00E178F0">
        <w:rPr>
          <w:rFonts w:ascii="Times New Roman" w:hAnsi="Times New Roman" w:cs="Times New Roman"/>
          <w:lang w:val="en-GB"/>
        </w:rPr>
        <w:t>affects</w:t>
      </w:r>
      <w:r w:rsidR="00DC18B0" w:rsidRPr="00E178F0">
        <w:rPr>
          <w:rFonts w:ascii="Times New Roman" w:hAnsi="Times New Roman" w:cs="Times New Roman"/>
          <w:lang w:val="en-GB"/>
        </w:rPr>
        <w:t xml:space="preserve"> both educational and research area.</w:t>
      </w:r>
    </w:p>
    <w:p w:rsidR="0004490A" w:rsidRPr="00E178F0" w:rsidRDefault="0004490A" w:rsidP="00E178F0">
      <w:pPr>
        <w:spacing w:line="360" w:lineRule="auto"/>
        <w:ind w:left="705"/>
        <w:rPr>
          <w:rFonts w:ascii="Times New Roman" w:hAnsi="Times New Roman" w:cs="Times New Roman"/>
          <w:b/>
          <w:lang w:val="en-GB"/>
        </w:rPr>
      </w:pPr>
      <w:r w:rsidRPr="00E178F0">
        <w:rPr>
          <w:rFonts w:ascii="Times New Roman" w:hAnsi="Times New Roman" w:cs="Times New Roman"/>
          <w:b/>
          <w:lang w:val="en-GB"/>
        </w:rPr>
        <w:t>Literature Review</w:t>
      </w:r>
    </w:p>
    <w:p w:rsidR="0004490A" w:rsidRPr="00E178F0" w:rsidRDefault="0004490A" w:rsidP="00E178F0">
      <w:pPr>
        <w:spacing w:line="360" w:lineRule="auto"/>
        <w:ind w:left="705"/>
        <w:rPr>
          <w:rFonts w:ascii="Times New Roman" w:hAnsi="Times New Roman" w:cs="Times New Roman"/>
          <w:lang w:val="en-GB"/>
        </w:rPr>
      </w:pPr>
      <w:r w:rsidRPr="00E178F0">
        <w:rPr>
          <w:rFonts w:ascii="Times New Roman" w:hAnsi="Times New Roman" w:cs="Times New Roman"/>
          <w:lang w:val="en-GB"/>
        </w:rPr>
        <w:t xml:space="preserve">Chanock, K. (2004). A Shared Focus for WAC, Writing Tutors and EAP: Identifying the “Academic Purposes” in Writing Across the Curriculum. </w:t>
      </w:r>
      <w:r w:rsidRPr="00E178F0">
        <w:rPr>
          <w:rFonts w:ascii="Times New Roman" w:hAnsi="Times New Roman" w:cs="Times New Roman"/>
          <w:i/>
          <w:iCs/>
          <w:lang w:val="en-GB"/>
        </w:rPr>
        <w:t>The WAC Journal,</w:t>
      </w:r>
      <w:r w:rsidRPr="00E178F0">
        <w:rPr>
          <w:rFonts w:ascii="Times New Roman" w:hAnsi="Times New Roman" w:cs="Times New Roman"/>
          <w:lang w:val="en-GB"/>
        </w:rPr>
        <w:t xml:space="preserve"> </w:t>
      </w:r>
      <w:r w:rsidRPr="00E178F0">
        <w:rPr>
          <w:rFonts w:ascii="Times New Roman" w:hAnsi="Times New Roman" w:cs="Times New Roman"/>
          <w:i/>
          <w:iCs/>
          <w:lang w:val="en-GB"/>
        </w:rPr>
        <w:t>15</w:t>
      </w:r>
      <w:r w:rsidRPr="00E178F0">
        <w:rPr>
          <w:rFonts w:ascii="Times New Roman" w:hAnsi="Times New Roman" w:cs="Times New Roman"/>
          <w:lang w:val="en-GB"/>
        </w:rPr>
        <w:t>, 19-32.</w:t>
      </w:r>
    </w:p>
    <w:p w:rsidR="004D11FC" w:rsidRPr="00E178F0" w:rsidRDefault="004D11FC" w:rsidP="00E178F0">
      <w:pPr>
        <w:spacing w:line="360" w:lineRule="auto"/>
        <w:ind w:left="705"/>
        <w:rPr>
          <w:rFonts w:ascii="Times New Roman" w:hAnsi="Times New Roman" w:cs="Times New Roman"/>
          <w:lang w:val="en-GB"/>
        </w:rPr>
      </w:pPr>
      <w:r w:rsidRPr="00E178F0">
        <w:rPr>
          <w:rFonts w:ascii="Times New Roman" w:hAnsi="Times New Roman" w:cs="Times New Roman"/>
          <w:lang w:val="en-GB"/>
        </w:rPr>
        <w:t xml:space="preserve">Chanock dwells on EAP by summarizing what WAC, Writing Across the </w:t>
      </w:r>
      <w:r w:rsidR="00E178F0" w:rsidRPr="00E178F0">
        <w:rPr>
          <w:rFonts w:ascii="Times New Roman" w:hAnsi="Times New Roman" w:cs="Times New Roman"/>
          <w:lang w:val="en-GB"/>
        </w:rPr>
        <w:t>Curriculum</w:t>
      </w:r>
      <w:r w:rsidRPr="00E178F0">
        <w:rPr>
          <w:rFonts w:ascii="Times New Roman" w:hAnsi="Times New Roman" w:cs="Times New Roman"/>
          <w:lang w:val="en-GB"/>
        </w:rPr>
        <w:t>, is working on, and their aim to create a way of thinking that is ‘’academic purpose’’.</w:t>
      </w:r>
    </w:p>
    <w:p w:rsidR="004D11FC" w:rsidRPr="00E178F0" w:rsidRDefault="004D11FC" w:rsidP="00E178F0">
      <w:pPr>
        <w:spacing w:line="360" w:lineRule="auto"/>
        <w:ind w:left="705"/>
        <w:rPr>
          <w:rFonts w:ascii="Times New Roman" w:hAnsi="Times New Roman" w:cs="Times New Roman"/>
          <w:lang w:val="en-GB"/>
        </w:rPr>
      </w:pPr>
      <w:r w:rsidRPr="00E178F0">
        <w:rPr>
          <w:rFonts w:ascii="Times New Roman" w:hAnsi="Times New Roman" w:cs="Times New Roman"/>
          <w:lang w:val="en-GB"/>
        </w:rPr>
        <w:t>It is useful, as it contains an approach to EAP from a different institution.</w:t>
      </w:r>
    </w:p>
    <w:p w:rsidR="004D11FC" w:rsidRPr="00E178F0" w:rsidRDefault="004D11FC" w:rsidP="00E178F0">
      <w:pPr>
        <w:spacing w:line="360" w:lineRule="auto"/>
        <w:ind w:left="708"/>
        <w:rPr>
          <w:rFonts w:ascii="Times New Roman" w:hAnsi="Times New Roman" w:cs="Times New Roman"/>
          <w:lang w:val="en-GB"/>
        </w:rPr>
      </w:pPr>
      <w:r w:rsidRPr="00E178F0">
        <w:rPr>
          <w:rFonts w:ascii="Times New Roman" w:hAnsi="Times New Roman" w:cs="Times New Roman"/>
          <w:lang w:val="en-GB"/>
        </w:rPr>
        <w:t xml:space="preserve">Leopold, L. (2010). Teaching Writing Within the Disciplines: A Viable Approach for English for Academic Purposes (EAP) Instructors. </w:t>
      </w:r>
      <w:r w:rsidRPr="00E178F0">
        <w:rPr>
          <w:rFonts w:ascii="Times New Roman" w:hAnsi="Times New Roman" w:cs="Times New Roman"/>
          <w:i/>
          <w:iCs/>
          <w:lang w:val="en-GB"/>
        </w:rPr>
        <w:t>The CATESOL Journal,</w:t>
      </w:r>
      <w:r w:rsidRPr="00E178F0">
        <w:rPr>
          <w:rFonts w:ascii="Times New Roman" w:hAnsi="Times New Roman" w:cs="Times New Roman"/>
          <w:lang w:val="en-GB"/>
        </w:rPr>
        <w:t xml:space="preserve"> </w:t>
      </w:r>
      <w:r w:rsidRPr="00E178F0">
        <w:rPr>
          <w:rFonts w:ascii="Times New Roman" w:hAnsi="Times New Roman" w:cs="Times New Roman"/>
          <w:i/>
          <w:iCs/>
          <w:lang w:val="en-GB"/>
        </w:rPr>
        <w:t>22</w:t>
      </w:r>
      <w:r w:rsidRPr="00E178F0">
        <w:rPr>
          <w:rFonts w:ascii="Times New Roman" w:hAnsi="Times New Roman" w:cs="Times New Roman"/>
          <w:lang w:val="en-GB"/>
        </w:rPr>
        <w:t>(1), 167-188.</w:t>
      </w:r>
    </w:p>
    <w:p w:rsidR="004D11FC" w:rsidRPr="00E178F0" w:rsidRDefault="004D11FC" w:rsidP="00E178F0">
      <w:pPr>
        <w:spacing w:line="360" w:lineRule="auto"/>
        <w:ind w:left="708"/>
        <w:rPr>
          <w:rFonts w:ascii="Times New Roman" w:hAnsi="Times New Roman" w:cs="Times New Roman"/>
          <w:lang w:val="en-GB"/>
        </w:rPr>
      </w:pPr>
      <w:r w:rsidRPr="00E178F0">
        <w:rPr>
          <w:rFonts w:ascii="Times New Roman" w:hAnsi="Times New Roman" w:cs="Times New Roman"/>
          <w:lang w:val="en-GB"/>
        </w:rPr>
        <w:t xml:space="preserve">Leopold dwells on Academic Purpose (EAP) Instructors by summing up briefly what kind of an approach </w:t>
      </w:r>
      <w:r w:rsidR="000E05C5" w:rsidRPr="00E178F0">
        <w:rPr>
          <w:rFonts w:ascii="Times New Roman" w:hAnsi="Times New Roman" w:cs="Times New Roman"/>
          <w:lang w:val="en-GB"/>
        </w:rPr>
        <w:t>do EAP instructors</w:t>
      </w:r>
      <w:r w:rsidRPr="00E178F0">
        <w:rPr>
          <w:rFonts w:ascii="Times New Roman" w:hAnsi="Times New Roman" w:cs="Times New Roman"/>
          <w:lang w:val="en-GB"/>
        </w:rPr>
        <w:t xml:space="preserve"> </w:t>
      </w:r>
      <w:r w:rsidR="000E05C5" w:rsidRPr="00E178F0">
        <w:rPr>
          <w:rFonts w:ascii="Times New Roman" w:hAnsi="Times New Roman" w:cs="Times New Roman"/>
          <w:lang w:val="en-GB"/>
        </w:rPr>
        <w:t>show within the disciplines.</w:t>
      </w:r>
    </w:p>
    <w:p w:rsidR="000E05C5" w:rsidRPr="00E178F0" w:rsidRDefault="000E05C5" w:rsidP="00E178F0">
      <w:pPr>
        <w:spacing w:line="360" w:lineRule="auto"/>
        <w:ind w:left="708"/>
        <w:rPr>
          <w:rFonts w:ascii="Times New Roman" w:hAnsi="Times New Roman" w:cs="Times New Roman"/>
          <w:lang w:val="en-GB"/>
        </w:rPr>
      </w:pPr>
      <w:r w:rsidRPr="00E178F0">
        <w:rPr>
          <w:rFonts w:ascii="Times New Roman" w:hAnsi="Times New Roman" w:cs="Times New Roman"/>
          <w:lang w:val="en-GB"/>
        </w:rPr>
        <w:t>It is useful, as it contains the approach of EAP instructors from their perspectives.</w:t>
      </w:r>
    </w:p>
    <w:p w:rsidR="000E05C5" w:rsidRPr="00E178F0" w:rsidRDefault="000E05C5" w:rsidP="00E178F0">
      <w:pPr>
        <w:spacing w:line="360" w:lineRule="auto"/>
        <w:ind w:left="708"/>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Ruiz-Garrido, M., Palmer-Silveira, J., &amp; Fortanet-Gómez, I. (Eds.). (2010).</w:t>
      </w:r>
      <w:r w:rsidRPr="00E178F0">
        <w:rPr>
          <w:rStyle w:val="apple-converted-space"/>
          <w:rFonts w:ascii="Times New Roman" w:hAnsi="Times New Roman" w:cs="Times New Roman"/>
          <w:color w:val="000000" w:themeColor="text1"/>
          <w:shd w:val="clear" w:color="auto" w:fill="FFFFFF"/>
          <w:lang w:val="en-GB"/>
        </w:rPr>
        <w:t> </w:t>
      </w:r>
      <w:r w:rsidRPr="00E178F0">
        <w:rPr>
          <w:rFonts w:ascii="Times New Roman" w:hAnsi="Times New Roman" w:cs="Times New Roman"/>
          <w:i/>
          <w:iCs/>
          <w:color w:val="000000" w:themeColor="text1"/>
          <w:shd w:val="clear" w:color="auto" w:fill="FFFFFF"/>
          <w:lang w:val="en-GB"/>
        </w:rPr>
        <w:t>English for Professional and Academic Purposes</w:t>
      </w:r>
      <w:r w:rsidRPr="00E178F0">
        <w:rPr>
          <w:rFonts w:ascii="Times New Roman" w:hAnsi="Times New Roman" w:cs="Times New Roman"/>
          <w:color w:val="000000" w:themeColor="text1"/>
          <w:shd w:val="clear" w:color="auto" w:fill="FFFFFF"/>
          <w:lang w:val="en-GB"/>
        </w:rPr>
        <w:t>. Amsterdam: New York.</w:t>
      </w:r>
    </w:p>
    <w:p w:rsidR="007638AE" w:rsidRPr="00E178F0" w:rsidRDefault="007638AE" w:rsidP="00E178F0">
      <w:pPr>
        <w:spacing w:line="360" w:lineRule="auto"/>
        <w:ind w:left="708"/>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Ruiz-Garrido, Palmer-Silveira, and Fortanet-Gómez dwells on English by separating into sections such as discourse analysis of EAP, discourse analysis of professional English, and EPAP pedagogy.</w:t>
      </w:r>
    </w:p>
    <w:p w:rsidR="006E4A48" w:rsidRPr="00E178F0" w:rsidRDefault="007142B4" w:rsidP="00E178F0">
      <w:pPr>
        <w:spacing w:line="360" w:lineRule="auto"/>
        <w:ind w:left="708"/>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It is useful, as it contains discourse analysis of English in different ways.</w:t>
      </w:r>
    </w:p>
    <w:p w:rsidR="006E4A48" w:rsidRPr="00E178F0" w:rsidRDefault="006647D8" w:rsidP="00E178F0">
      <w:pPr>
        <w:spacing w:line="360" w:lineRule="auto"/>
        <w:ind w:left="708"/>
        <w:rPr>
          <w:rFonts w:ascii="Times New Roman" w:hAnsi="Times New Roman" w:cs="Times New Roman"/>
          <w:b/>
          <w:color w:val="000000" w:themeColor="text1"/>
          <w:shd w:val="clear" w:color="auto" w:fill="FFFFFF"/>
          <w:lang w:val="en-GB"/>
        </w:rPr>
      </w:pPr>
      <w:r w:rsidRPr="00E178F0">
        <w:rPr>
          <w:rFonts w:ascii="Times New Roman" w:hAnsi="Times New Roman" w:cs="Times New Roman"/>
          <w:b/>
          <w:color w:val="000000" w:themeColor="text1"/>
          <w:shd w:val="clear" w:color="auto" w:fill="FFFFFF"/>
          <w:lang w:val="en-GB"/>
        </w:rPr>
        <w:lastRenderedPageBreak/>
        <w:t>Methods</w:t>
      </w:r>
    </w:p>
    <w:p w:rsidR="006647D8" w:rsidRPr="00E178F0" w:rsidRDefault="006647D8" w:rsidP="00E178F0">
      <w:pPr>
        <w:spacing w:line="360" w:lineRule="auto"/>
        <w:ind w:left="708"/>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WAC teachers and students rely on ethnographic investigation of specific situations to un</w:t>
      </w:r>
      <w:r w:rsidR="00661FA6" w:rsidRPr="00E178F0">
        <w:rPr>
          <w:rFonts w:ascii="Times New Roman" w:hAnsi="Times New Roman" w:cs="Times New Roman"/>
          <w:color w:val="000000" w:themeColor="text1"/>
          <w:shd w:val="clear" w:color="auto" w:fill="FFFFFF"/>
          <w:lang w:val="en-GB"/>
        </w:rPr>
        <w:t>derstand the purpose of writing, and WAC teachers need to help students develop a routine for discovering it.</w:t>
      </w:r>
    </w:p>
    <w:p w:rsidR="00661FA6" w:rsidRPr="00E178F0" w:rsidRDefault="00661FA6" w:rsidP="00E178F0">
      <w:pPr>
        <w:spacing w:line="360" w:lineRule="auto"/>
        <w:ind w:left="708"/>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Leopold engaged in teacher research, considered students’ learning outcomes and learning transfer to their content class, calculated the mean score and standard deviation for all questions, compared students’ responses on the school’s standard course, analyzed students’ performance on writing assignments, compared students’ overall grades and performance on a graded draft of their policy, and analyzed these results for statistical significance using a Mann-Whitney U test.</w:t>
      </w:r>
    </w:p>
    <w:p w:rsidR="0068270F" w:rsidRPr="00E178F0" w:rsidRDefault="0068270F" w:rsidP="00E178F0">
      <w:pPr>
        <w:spacing w:line="360" w:lineRule="auto"/>
        <w:ind w:left="708"/>
        <w:rPr>
          <w:rFonts w:ascii="Times New Roman" w:hAnsi="Times New Roman" w:cs="Times New Roman"/>
          <w:b/>
          <w:color w:val="000000" w:themeColor="text1"/>
          <w:shd w:val="clear" w:color="auto" w:fill="FFFFFF"/>
          <w:lang w:val="en-GB"/>
        </w:rPr>
      </w:pPr>
      <w:r w:rsidRPr="00E178F0">
        <w:rPr>
          <w:rFonts w:ascii="Times New Roman" w:hAnsi="Times New Roman" w:cs="Times New Roman"/>
          <w:b/>
          <w:color w:val="000000" w:themeColor="text1"/>
          <w:shd w:val="clear" w:color="auto" w:fill="FFFFFF"/>
          <w:lang w:val="en-GB"/>
        </w:rPr>
        <w:t>Research Questions</w:t>
      </w:r>
    </w:p>
    <w:p w:rsidR="00994FD3" w:rsidRPr="00E178F0" w:rsidRDefault="0068270F" w:rsidP="00E178F0">
      <w:pPr>
        <w:spacing w:line="360" w:lineRule="auto"/>
        <w:ind w:left="709"/>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How do students come to understand that they must approach this assignment in this way?</w:t>
      </w:r>
    </w:p>
    <w:p w:rsidR="0068270F" w:rsidRPr="00E178F0" w:rsidRDefault="0068270F" w:rsidP="00E178F0">
      <w:pPr>
        <w:spacing w:line="360" w:lineRule="auto"/>
        <w:ind w:left="709"/>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What is the impact of an adjunct model of disciplinary writing instruction on students’ learning transfer to their content class?</w:t>
      </w:r>
    </w:p>
    <w:p w:rsidR="0068270F" w:rsidRPr="00E178F0" w:rsidRDefault="0068270F" w:rsidP="00E178F0">
      <w:pPr>
        <w:spacing w:line="360" w:lineRule="auto"/>
        <w:ind w:left="709"/>
        <w:rPr>
          <w:rFonts w:ascii="Times New Roman" w:hAnsi="Times New Roman" w:cs="Times New Roman"/>
          <w:b/>
          <w:color w:val="000000" w:themeColor="text1"/>
          <w:shd w:val="clear" w:color="auto" w:fill="FFFFFF"/>
          <w:lang w:val="en-GB"/>
        </w:rPr>
      </w:pPr>
      <w:r w:rsidRPr="00E178F0">
        <w:rPr>
          <w:rFonts w:ascii="Times New Roman" w:hAnsi="Times New Roman" w:cs="Times New Roman"/>
          <w:b/>
          <w:color w:val="000000" w:themeColor="text1"/>
          <w:shd w:val="clear" w:color="auto" w:fill="FFFFFF"/>
          <w:lang w:val="en-GB"/>
        </w:rPr>
        <w:t>Results</w:t>
      </w:r>
    </w:p>
    <w:p w:rsidR="006E4A48" w:rsidRPr="00E178F0" w:rsidRDefault="0068270F" w:rsidP="00E178F0">
      <w:pPr>
        <w:spacing w:line="360" w:lineRule="auto"/>
        <w:ind w:left="709"/>
        <w:rPr>
          <w:rFonts w:ascii="Times New Roman" w:hAnsi="Times New Roman" w:cs="Times New Roman"/>
          <w:color w:val="000000" w:themeColor="text1"/>
          <w:shd w:val="clear" w:color="auto" w:fill="FFFFFF"/>
          <w:lang w:val="en-GB"/>
        </w:rPr>
      </w:pPr>
      <w:r w:rsidRPr="00E178F0">
        <w:rPr>
          <w:rFonts w:ascii="Times New Roman" w:hAnsi="Times New Roman" w:cs="Times New Roman"/>
          <w:color w:val="000000" w:themeColor="text1"/>
          <w:shd w:val="clear" w:color="auto" w:fill="FFFFFF"/>
          <w:lang w:val="en-GB"/>
        </w:rPr>
        <w:t>As the mean scores indicate, students’ self-reported learning outcomes and transfer to courses in the policy school were very high. Moreover, on open-ended questions, students wrote mostly positive comments. Furthermore, scores from the university’s formal student evaluation instrument during the two semesters when the Content Writing course was linked with the policy course improved drastically as compared to the previous two semesters</w:t>
      </w:r>
      <w:r w:rsidR="00E178F0" w:rsidRPr="00E178F0">
        <w:rPr>
          <w:rFonts w:ascii="Times New Roman" w:hAnsi="Times New Roman" w:cs="Times New Roman"/>
          <w:color w:val="000000" w:themeColor="text1"/>
          <w:shd w:val="clear" w:color="auto" w:fill="FFFFFF"/>
          <w:lang w:val="en-GB"/>
        </w:rPr>
        <w:t xml:space="preserve"> when the Content Writing course was taught independently of the policy course by the same EAP professor.</w:t>
      </w: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091C69" w:rsidP="00091C69">
      <w:pPr>
        <w:spacing w:line="360" w:lineRule="auto"/>
        <w:ind w:left="709"/>
        <w:rPr>
          <w:rFonts w:ascii="Times New Roman" w:hAnsi="Times New Roman" w:cs="Times New Roman"/>
          <w:b/>
          <w:color w:val="000000" w:themeColor="text1"/>
          <w:shd w:val="clear" w:color="auto" w:fill="FFFFFF"/>
          <w:lang w:val="en-GB"/>
        </w:rPr>
      </w:pPr>
    </w:p>
    <w:p w:rsidR="00091C69" w:rsidRDefault="00E178F0" w:rsidP="00091C69">
      <w:pPr>
        <w:spacing w:line="360" w:lineRule="auto"/>
        <w:ind w:left="709"/>
        <w:rPr>
          <w:rFonts w:ascii="Times New Roman" w:hAnsi="Times New Roman" w:cs="Times New Roman"/>
          <w:b/>
          <w:color w:val="000000" w:themeColor="text1"/>
          <w:shd w:val="clear" w:color="auto" w:fill="FFFFFF"/>
          <w:lang w:val="en-GB"/>
        </w:rPr>
      </w:pPr>
      <w:r w:rsidRPr="00E178F0">
        <w:rPr>
          <w:rFonts w:ascii="Times New Roman" w:hAnsi="Times New Roman" w:cs="Times New Roman"/>
          <w:b/>
          <w:color w:val="000000" w:themeColor="text1"/>
          <w:shd w:val="clear" w:color="auto" w:fill="FFFFFF"/>
          <w:lang w:val="en-GB"/>
        </w:rPr>
        <w:lastRenderedPageBreak/>
        <w:t>References</w:t>
      </w:r>
    </w:p>
    <w:p w:rsidR="00091C69" w:rsidRPr="00091C69" w:rsidRDefault="00E178F0" w:rsidP="00091C69">
      <w:pPr>
        <w:spacing w:line="360" w:lineRule="auto"/>
        <w:ind w:left="709"/>
        <w:rPr>
          <w:rFonts w:ascii="Times New Roman" w:hAnsi="Times New Roman" w:cs="Times New Roman"/>
          <w:b/>
          <w:color w:val="000000" w:themeColor="text1"/>
          <w:shd w:val="clear" w:color="auto" w:fill="FFFFFF"/>
          <w:lang w:val="en-GB"/>
        </w:rPr>
      </w:pPr>
      <w:r w:rsidRPr="00E178F0">
        <w:rPr>
          <w:rFonts w:ascii="Times New Roman" w:hAnsi="Times New Roman" w:cs="Times New Roman"/>
          <w:sz w:val="24"/>
          <w:szCs w:val="24"/>
          <w:lang w:val="en-GB"/>
        </w:rPr>
        <w:t xml:space="preserve">Chanock, K. (2004). A Shared Focus for WAC, Writing Tutors and EAP: Identifying the      “Academic Purposes” in Writing Across the Curriculum. </w:t>
      </w:r>
      <w:r w:rsidRPr="00E178F0">
        <w:rPr>
          <w:rFonts w:ascii="Times New Roman" w:hAnsi="Times New Roman" w:cs="Times New Roman"/>
          <w:i/>
          <w:iCs/>
          <w:sz w:val="24"/>
          <w:szCs w:val="24"/>
          <w:lang w:val="en-GB"/>
        </w:rPr>
        <w:t>The WAC Journal,</w:t>
      </w:r>
      <w:r w:rsidRPr="00E178F0">
        <w:rPr>
          <w:rFonts w:ascii="Times New Roman" w:hAnsi="Times New Roman" w:cs="Times New Roman"/>
          <w:sz w:val="24"/>
          <w:szCs w:val="24"/>
          <w:lang w:val="en-GB"/>
        </w:rPr>
        <w:t xml:space="preserve"> </w:t>
      </w:r>
      <w:r w:rsidRPr="00E178F0">
        <w:rPr>
          <w:rFonts w:ascii="Times New Roman" w:hAnsi="Times New Roman" w:cs="Times New Roman"/>
          <w:i/>
          <w:iCs/>
          <w:sz w:val="24"/>
          <w:szCs w:val="24"/>
          <w:lang w:val="en-GB"/>
        </w:rPr>
        <w:t>15</w:t>
      </w:r>
      <w:r w:rsidRPr="00E178F0">
        <w:rPr>
          <w:rFonts w:ascii="Times New Roman" w:hAnsi="Times New Roman" w:cs="Times New Roman"/>
          <w:sz w:val="24"/>
          <w:szCs w:val="24"/>
          <w:lang w:val="en-GB"/>
        </w:rPr>
        <w:t>, 19-32.</w:t>
      </w:r>
    </w:p>
    <w:p w:rsidR="00091C69" w:rsidRDefault="00E178F0" w:rsidP="00091C69">
      <w:pPr>
        <w:spacing w:line="360" w:lineRule="auto"/>
        <w:ind w:left="708"/>
        <w:rPr>
          <w:rFonts w:ascii="Times New Roman" w:hAnsi="Times New Roman" w:cs="Times New Roman"/>
          <w:sz w:val="24"/>
          <w:szCs w:val="24"/>
          <w:lang w:val="en-GB"/>
        </w:rPr>
      </w:pPr>
      <w:r w:rsidRPr="00E178F0">
        <w:rPr>
          <w:rFonts w:ascii="Times New Roman" w:hAnsi="Times New Roman" w:cs="Times New Roman"/>
          <w:sz w:val="24"/>
          <w:szCs w:val="24"/>
          <w:lang w:val="en-GB"/>
        </w:rPr>
        <w:t xml:space="preserve">Leopold, L. (2010). Teaching Writing Within the Disciplines: A Viable Approach for English for Academic Purposes (EAP) Instructors. </w:t>
      </w:r>
      <w:r w:rsidRPr="00E178F0">
        <w:rPr>
          <w:rFonts w:ascii="Times New Roman" w:hAnsi="Times New Roman" w:cs="Times New Roman"/>
          <w:i/>
          <w:iCs/>
          <w:sz w:val="24"/>
          <w:szCs w:val="24"/>
          <w:lang w:val="en-GB"/>
        </w:rPr>
        <w:t>The CATESOL Journal,</w:t>
      </w:r>
      <w:r w:rsidRPr="00E178F0">
        <w:rPr>
          <w:rFonts w:ascii="Times New Roman" w:hAnsi="Times New Roman" w:cs="Times New Roman"/>
          <w:sz w:val="24"/>
          <w:szCs w:val="24"/>
          <w:lang w:val="en-GB"/>
        </w:rPr>
        <w:t xml:space="preserve"> </w:t>
      </w:r>
      <w:r w:rsidRPr="00E178F0">
        <w:rPr>
          <w:rFonts w:ascii="Times New Roman" w:hAnsi="Times New Roman" w:cs="Times New Roman"/>
          <w:i/>
          <w:iCs/>
          <w:sz w:val="24"/>
          <w:szCs w:val="24"/>
          <w:lang w:val="en-GB"/>
        </w:rPr>
        <w:t>22</w:t>
      </w:r>
      <w:r w:rsidRPr="00E178F0">
        <w:rPr>
          <w:rFonts w:ascii="Times New Roman" w:hAnsi="Times New Roman" w:cs="Times New Roman"/>
          <w:sz w:val="24"/>
          <w:szCs w:val="24"/>
          <w:lang w:val="en-GB"/>
        </w:rPr>
        <w:t>(1), 167-188.</w:t>
      </w:r>
    </w:p>
    <w:p w:rsidR="00F07A31" w:rsidRPr="00091C69" w:rsidRDefault="00E178F0" w:rsidP="00091C69">
      <w:pPr>
        <w:spacing w:line="360" w:lineRule="auto"/>
        <w:ind w:left="708"/>
        <w:rPr>
          <w:rFonts w:ascii="Times New Roman" w:hAnsi="Times New Roman" w:cs="Times New Roman"/>
          <w:sz w:val="24"/>
          <w:szCs w:val="24"/>
          <w:lang w:val="en-GB"/>
        </w:rPr>
      </w:pPr>
      <w:r w:rsidRPr="00E178F0">
        <w:rPr>
          <w:rFonts w:ascii="Times New Roman" w:hAnsi="Times New Roman" w:cs="Times New Roman"/>
          <w:color w:val="000000" w:themeColor="text1"/>
          <w:sz w:val="24"/>
          <w:szCs w:val="24"/>
          <w:shd w:val="clear" w:color="auto" w:fill="FFFFFF"/>
          <w:lang w:val="en-GB"/>
        </w:rPr>
        <w:t>Ruiz-Garrido, M., Palmer-Silveira, J., &amp; Fortanet-Gómez, I. (Eds.). (2010).</w:t>
      </w:r>
      <w:r w:rsidRPr="00E178F0">
        <w:rPr>
          <w:rStyle w:val="apple-converted-space"/>
          <w:rFonts w:ascii="Times New Roman" w:hAnsi="Times New Roman" w:cs="Times New Roman"/>
          <w:color w:val="000000" w:themeColor="text1"/>
          <w:sz w:val="24"/>
          <w:szCs w:val="24"/>
          <w:shd w:val="clear" w:color="auto" w:fill="FFFFFF"/>
          <w:lang w:val="en-GB"/>
        </w:rPr>
        <w:t> </w:t>
      </w:r>
      <w:r w:rsidRPr="00E178F0">
        <w:rPr>
          <w:rFonts w:ascii="Times New Roman" w:hAnsi="Times New Roman" w:cs="Times New Roman"/>
          <w:i/>
          <w:iCs/>
          <w:color w:val="000000" w:themeColor="text1"/>
          <w:sz w:val="24"/>
          <w:szCs w:val="24"/>
          <w:shd w:val="clear" w:color="auto" w:fill="FFFFFF"/>
          <w:lang w:val="en-GB"/>
        </w:rPr>
        <w:t>English for Professional and Academic Purposes</w:t>
      </w:r>
      <w:r w:rsidRPr="00E178F0">
        <w:rPr>
          <w:rFonts w:ascii="Times New Roman" w:hAnsi="Times New Roman" w:cs="Times New Roman"/>
          <w:color w:val="000000" w:themeColor="text1"/>
          <w:sz w:val="24"/>
          <w:szCs w:val="24"/>
          <w:shd w:val="clear" w:color="auto" w:fill="FFFFFF"/>
          <w:lang w:val="en-GB"/>
        </w:rPr>
        <w:t>. Amsterdam: New York.</w:t>
      </w:r>
    </w:p>
    <w:sectPr w:rsidR="00F07A31" w:rsidRPr="00091C69" w:rsidSect="00FE178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C3B" w:rsidRDefault="00CD1C3B" w:rsidP="00545602">
      <w:pPr>
        <w:spacing w:after="0" w:line="240" w:lineRule="auto"/>
      </w:pPr>
      <w:r>
        <w:separator/>
      </w:r>
    </w:p>
  </w:endnote>
  <w:endnote w:type="continuationSeparator" w:id="1">
    <w:p w:rsidR="00CD1C3B" w:rsidRDefault="00CD1C3B" w:rsidP="00545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C3B" w:rsidRDefault="00CD1C3B" w:rsidP="00545602">
      <w:pPr>
        <w:spacing w:after="0" w:line="240" w:lineRule="auto"/>
      </w:pPr>
      <w:r>
        <w:separator/>
      </w:r>
    </w:p>
  </w:footnote>
  <w:footnote w:type="continuationSeparator" w:id="1">
    <w:p w:rsidR="00CD1C3B" w:rsidRDefault="00CD1C3B" w:rsidP="005456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F13DD"/>
    <w:multiLevelType w:val="hybridMultilevel"/>
    <w:tmpl w:val="ABFC81D4"/>
    <w:lvl w:ilvl="0" w:tplc="8F0680E8">
      <w:numFmt w:val="bullet"/>
      <w:lvlText w:val="-"/>
      <w:lvlJc w:val="left"/>
      <w:pPr>
        <w:ind w:left="1068" w:hanging="360"/>
      </w:pPr>
      <w:rPr>
        <w:rFonts w:ascii="Calibri" w:eastAsiaTheme="minorHAnsi" w:hAnsi="Calibri" w:cs="Calibr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
    <w:nsid w:val="434C78CD"/>
    <w:multiLevelType w:val="hybridMultilevel"/>
    <w:tmpl w:val="6B4CD69A"/>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45602"/>
    <w:rsid w:val="0004490A"/>
    <w:rsid w:val="00091C69"/>
    <w:rsid w:val="000C749C"/>
    <w:rsid w:val="000E05C5"/>
    <w:rsid w:val="00102732"/>
    <w:rsid w:val="00162539"/>
    <w:rsid w:val="00180336"/>
    <w:rsid w:val="002A7052"/>
    <w:rsid w:val="00316F46"/>
    <w:rsid w:val="003B12C8"/>
    <w:rsid w:val="004077BC"/>
    <w:rsid w:val="004D11FC"/>
    <w:rsid w:val="00501CCF"/>
    <w:rsid w:val="00523065"/>
    <w:rsid w:val="00536F19"/>
    <w:rsid w:val="00545602"/>
    <w:rsid w:val="00547B20"/>
    <w:rsid w:val="005935E4"/>
    <w:rsid w:val="005E15F8"/>
    <w:rsid w:val="00661FA6"/>
    <w:rsid w:val="006647D8"/>
    <w:rsid w:val="0068270F"/>
    <w:rsid w:val="006E4A48"/>
    <w:rsid w:val="007142B4"/>
    <w:rsid w:val="007638AE"/>
    <w:rsid w:val="007A0B7A"/>
    <w:rsid w:val="00870BA5"/>
    <w:rsid w:val="0088423E"/>
    <w:rsid w:val="008D1095"/>
    <w:rsid w:val="008E7BB1"/>
    <w:rsid w:val="00917CAC"/>
    <w:rsid w:val="00994FD3"/>
    <w:rsid w:val="009C53F2"/>
    <w:rsid w:val="009C5DE5"/>
    <w:rsid w:val="009E5C84"/>
    <w:rsid w:val="00A0357C"/>
    <w:rsid w:val="00A41DAF"/>
    <w:rsid w:val="00A94E82"/>
    <w:rsid w:val="00AA1B4A"/>
    <w:rsid w:val="00AB2311"/>
    <w:rsid w:val="00BF6A39"/>
    <w:rsid w:val="00CD1C3B"/>
    <w:rsid w:val="00CD2B22"/>
    <w:rsid w:val="00CF2C0F"/>
    <w:rsid w:val="00D67E8C"/>
    <w:rsid w:val="00D703C5"/>
    <w:rsid w:val="00D82F42"/>
    <w:rsid w:val="00DC18B0"/>
    <w:rsid w:val="00DE512C"/>
    <w:rsid w:val="00E178F0"/>
    <w:rsid w:val="00E92981"/>
    <w:rsid w:val="00F07A31"/>
    <w:rsid w:val="00F34420"/>
    <w:rsid w:val="00F376A4"/>
    <w:rsid w:val="00FE333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60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5602"/>
    <w:pPr>
      <w:ind w:left="720"/>
      <w:contextualSpacing/>
    </w:pPr>
  </w:style>
  <w:style w:type="paragraph" w:styleId="stbilgi">
    <w:name w:val="header"/>
    <w:basedOn w:val="Normal"/>
    <w:link w:val="stbilgiChar"/>
    <w:uiPriority w:val="99"/>
    <w:semiHidden/>
    <w:unhideWhenUsed/>
    <w:rsid w:val="0054560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45602"/>
  </w:style>
  <w:style w:type="paragraph" w:styleId="Altbilgi">
    <w:name w:val="footer"/>
    <w:basedOn w:val="Normal"/>
    <w:link w:val="AltbilgiChar"/>
    <w:uiPriority w:val="99"/>
    <w:semiHidden/>
    <w:unhideWhenUsed/>
    <w:rsid w:val="00545602"/>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45602"/>
  </w:style>
  <w:style w:type="character" w:customStyle="1" w:styleId="apple-converted-space">
    <w:name w:val="apple-converted-space"/>
    <w:basedOn w:val="VarsaylanParagrafYazTipi"/>
    <w:rsid w:val="000E05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5</Pages>
  <Words>892</Words>
  <Characters>5088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27</cp:revision>
  <dcterms:created xsi:type="dcterms:W3CDTF">2015-03-17T14:05:00Z</dcterms:created>
  <dcterms:modified xsi:type="dcterms:W3CDTF">2015-03-23T17:57:00Z</dcterms:modified>
</cp:coreProperties>
</file>