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B5F" w:rsidRPr="00C27155" w:rsidRDefault="00240B5F" w:rsidP="00240B5F">
      <w:pPr>
        <w:rPr>
          <w:rFonts w:ascii="Times New Roman" w:hAnsi="Times New Roman" w:cs="Times New Roman"/>
          <w:sz w:val="24"/>
          <w:szCs w:val="24"/>
          <w:lang w:val="en-GB"/>
        </w:rPr>
      </w:pPr>
      <w:proofErr w:type="spellStart"/>
      <w:r>
        <w:rPr>
          <w:rFonts w:ascii="Times New Roman" w:hAnsi="Times New Roman" w:cs="Times New Roman"/>
          <w:sz w:val="24"/>
          <w:szCs w:val="24"/>
          <w:lang w:val="en-GB"/>
        </w:rPr>
        <w:t>Bilal</w:t>
      </w:r>
      <w:proofErr w:type="spellEnd"/>
      <w:r>
        <w:rPr>
          <w:rFonts w:ascii="Times New Roman" w:hAnsi="Times New Roman" w:cs="Times New Roman"/>
          <w:sz w:val="24"/>
          <w:szCs w:val="24"/>
          <w:lang w:val="en-GB"/>
        </w:rPr>
        <w:t xml:space="preserve"> Can TULUN</w:t>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t>27 November, 2014</w:t>
      </w:r>
    </w:p>
    <w:p w:rsidR="00240B5F" w:rsidRPr="00C27155" w:rsidRDefault="00240B5F" w:rsidP="00240B5F">
      <w:pPr>
        <w:rPr>
          <w:rFonts w:ascii="Times New Roman" w:hAnsi="Times New Roman" w:cs="Times New Roman"/>
          <w:sz w:val="24"/>
          <w:szCs w:val="24"/>
          <w:lang w:val="en-GB"/>
        </w:rPr>
      </w:pPr>
      <w:r w:rsidRPr="00C27155">
        <w:rPr>
          <w:rFonts w:ascii="Times New Roman" w:hAnsi="Times New Roman" w:cs="Times New Roman"/>
          <w:sz w:val="24"/>
          <w:szCs w:val="24"/>
          <w:lang w:val="en-GB"/>
        </w:rPr>
        <w:t>300458</w:t>
      </w:r>
    </w:p>
    <w:p w:rsidR="00240B5F" w:rsidRPr="00C27155" w:rsidRDefault="00240B5F" w:rsidP="00240B5F">
      <w:pPr>
        <w:rPr>
          <w:rFonts w:ascii="Times New Roman" w:hAnsi="Times New Roman" w:cs="Times New Roman"/>
          <w:sz w:val="24"/>
          <w:szCs w:val="24"/>
          <w:lang w:val="en-GB"/>
        </w:rPr>
      </w:pPr>
      <w:r w:rsidRPr="00C27155">
        <w:rPr>
          <w:rFonts w:ascii="Times New Roman" w:hAnsi="Times New Roman" w:cs="Times New Roman"/>
          <w:sz w:val="24"/>
          <w:szCs w:val="24"/>
          <w:lang w:val="en-GB"/>
        </w:rPr>
        <w:t>First Year – Group A</w:t>
      </w:r>
    </w:p>
    <w:p w:rsidR="00240B5F" w:rsidRPr="00C27155" w:rsidRDefault="00240B5F" w:rsidP="00240B5F">
      <w:pPr>
        <w:rPr>
          <w:rFonts w:ascii="Times New Roman" w:hAnsi="Times New Roman" w:cs="Times New Roman"/>
          <w:sz w:val="24"/>
          <w:szCs w:val="24"/>
          <w:lang w:val="en-GB"/>
        </w:rPr>
      </w:pPr>
      <w:r w:rsidRPr="00C27155">
        <w:rPr>
          <w:rFonts w:ascii="Times New Roman" w:hAnsi="Times New Roman" w:cs="Times New Roman"/>
          <w:sz w:val="24"/>
          <w:szCs w:val="24"/>
          <w:lang w:val="en-GB"/>
        </w:rPr>
        <w:t>I.D.E. 112</w:t>
      </w:r>
    </w:p>
    <w:p w:rsidR="00240B5F" w:rsidRPr="00C27155" w:rsidRDefault="00240B5F" w:rsidP="00240B5F">
      <w:pPr>
        <w:rPr>
          <w:rFonts w:ascii="Times New Roman" w:hAnsi="Times New Roman" w:cs="Times New Roman"/>
          <w:sz w:val="24"/>
          <w:szCs w:val="24"/>
          <w:lang w:val="en-GB"/>
        </w:rPr>
      </w:pPr>
      <w:r w:rsidRPr="00C27155">
        <w:rPr>
          <w:rFonts w:ascii="Times New Roman" w:hAnsi="Times New Roman" w:cs="Times New Roman"/>
          <w:sz w:val="24"/>
          <w:szCs w:val="24"/>
          <w:lang w:val="en-GB"/>
        </w:rPr>
        <w:t>Academic Writing</w:t>
      </w:r>
    </w:p>
    <w:p w:rsidR="00240B5F" w:rsidRDefault="00240B5F">
      <w:pPr>
        <w:rPr>
          <w:rFonts w:ascii="Times New Roman" w:hAnsi="Times New Roman" w:cs="Times New Roman"/>
          <w:sz w:val="24"/>
          <w:szCs w:val="24"/>
          <w:lang w:val="en-GB"/>
        </w:rPr>
      </w:pPr>
    </w:p>
    <w:p w:rsidR="00240B5F" w:rsidRDefault="00240B5F">
      <w:pPr>
        <w:rPr>
          <w:rFonts w:ascii="Times New Roman" w:hAnsi="Times New Roman" w:cs="Times New Roman"/>
          <w:sz w:val="24"/>
          <w:szCs w:val="24"/>
          <w:lang w:val="en-GB"/>
        </w:rPr>
      </w:pPr>
    </w:p>
    <w:p w:rsidR="00240B5F" w:rsidRPr="00240B5F" w:rsidRDefault="00BE58AD">
      <w:pPr>
        <w:rPr>
          <w:rFonts w:ascii="Times New Roman" w:hAnsi="Times New Roman" w:cs="Times New Roman"/>
          <w:sz w:val="24"/>
          <w:szCs w:val="24"/>
          <w:lang w:val="en-GB"/>
        </w:rPr>
      </w:pPr>
      <w:r w:rsidRPr="00240B5F">
        <w:rPr>
          <w:rFonts w:ascii="Times New Roman" w:hAnsi="Times New Roman" w:cs="Times New Roman"/>
          <w:sz w:val="24"/>
          <w:szCs w:val="24"/>
          <w:lang w:val="en-GB"/>
        </w:rPr>
        <w:t>Poverty is generally defined as deprivation of material needs.  However, the term poverty can also apply to deprivation in other circumstances, such as emotional deprivation in young children. While it has been long been recognised that children living without family support are more at risk, increasingly  research is indicating the impact of emotional deprivation. This particularly in regard to the development of a child's self-esteem, in their ability to form relationships and in their learning capabilities. Anecdotal evidence has for</w:t>
      </w:r>
      <w:r w:rsidR="00240B5F" w:rsidRPr="00240B5F">
        <w:rPr>
          <w:rFonts w:ascii="Times New Roman" w:hAnsi="Times New Roman" w:cs="Times New Roman"/>
          <w:sz w:val="24"/>
          <w:szCs w:val="24"/>
          <w:lang w:val="en-GB"/>
        </w:rPr>
        <w:t xml:space="preserve"> some period of time recognised the lack of self worth among orphans who have spent their early years in institutional environments. But comparative, longitudinal case studies of these children reaching adulthood have confirmed that their ability to form lasting emotional relationships is less successful than children from a nuclear family. These studies also took into account comparative learning difficulties encountered by both groups. It was found that those without family support and consistent emotional input had the greater difficulties.</w:t>
      </w:r>
      <w:r w:rsidR="00240B5F">
        <w:rPr>
          <w:rFonts w:ascii="Times New Roman" w:hAnsi="Times New Roman" w:cs="Times New Roman"/>
          <w:sz w:val="24"/>
          <w:szCs w:val="24"/>
          <w:lang w:val="en-GB"/>
        </w:rPr>
        <w:br/>
      </w:r>
      <w:r w:rsidR="00240B5F">
        <w:rPr>
          <w:rFonts w:ascii="Times New Roman" w:hAnsi="Times New Roman" w:cs="Times New Roman"/>
          <w:sz w:val="24"/>
          <w:szCs w:val="24"/>
          <w:lang w:val="en-GB"/>
        </w:rPr>
        <w:br/>
      </w:r>
      <w:r w:rsidR="00240B5F">
        <w:rPr>
          <w:rFonts w:ascii="Times New Roman" w:hAnsi="Times New Roman" w:cs="Times New Roman"/>
          <w:sz w:val="24"/>
          <w:szCs w:val="24"/>
          <w:lang w:val="en-GB"/>
        </w:rPr>
        <w:br/>
      </w:r>
    </w:p>
    <w:tbl>
      <w:tblPr>
        <w:tblStyle w:val="TabloKlavuzu"/>
        <w:tblW w:w="0" w:type="auto"/>
        <w:tblLook w:val="04A0"/>
      </w:tblPr>
      <w:tblGrid>
        <w:gridCol w:w="4606"/>
        <w:gridCol w:w="4606"/>
      </w:tblGrid>
      <w:tr w:rsidR="00240B5F" w:rsidTr="00240B5F">
        <w:tc>
          <w:tcPr>
            <w:tcW w:w="4606" w:type="dxa"/>
          </w:tcPr>
          <w:p w:rsidR="00240B5F" w:rsidRPr="00240B5F" w:rsidRDefault="00240B5F">
            <w:pPr>
              <w:rPr>
                <w:rFonts w:ascii="Times New Roman" w:hAnsi="Times New Roman" w:cs="Times New Roman"/>
                <w:b/>
                <w:sz w:val="24"/>
                <w:szCs w:val="24"/>
                <w:lang w:val="en-GB"/>
              </w:rPr>
            </w:pPr>
            <w:r w:rsidRPr="00240B5F">
              <w:rPr>
                <w:rFonts w:ascii="Times New Roman" w:hAnsi="Times New Roman" w:cs="Times New Roman"/>
                <w:b/>
                <w:sz w:val="24"/>
                <w:szCs w:val="24"/>
                <w:lang w:val="en-GB"/>
              </w:rPr>
              <w:t>REFERENCE</w:t>
            </w:r>
          </w:p>
        </w:tc>
        <w:tc>
          <w:tcPr>
            <w:tcW w:w="4606" w:type="dxa"/>
          </w:tcPr>
          <w:p w:rsidR="00240B5F" w:rsidRPr="00240B5F" w:rsidRDefault="00240B5F">
            <w:pPr>
              <w:rPr>
                <w:rFonts w:ascii="Times New Roman" w:hAnsi="Times New Roman" w:cs="Times New Roman"/>
                <w:b/>
                <w:sz w:val="24"/>
                <w:szCs w:val="24"/>
                <w:lang w:val="en-GB"/>
              </w:rPr>
            </w:pPr>
            <w:r w:rsidRPr="00240B5F">
              <w:rPr>
                <w:rFonts w:ascii="Times New Roman" w:hAnsi="Times New Roman" w:cs="Times New Roman"/>
                <w:b/>
                <w:sz w:val="24"/>
                <w:szCs w:val="24"/>
                <w:lang w:val="en-GB"/>
              </w:rPr>
              <w:t>REFERENCE WORD</w:t>
            </w:r>
          </w:p>
        </w:tc>
      </w:tr>
      <w:tr w:rsidR="00240B5F" w:rsidTr="00240B5F">
        <w:trPr>
          <w:trHeight w:val="466"/>
        </w:trPr>
        <w:tc>
          <w:tcPr>
            <w:tcW w:w="4606" w:type="dxa"/>
          </w:tcPr>
          <w:p w:rsidR="00240B5F" w:rsidRDefault="00240B5F">
            <w:pPr>
              <w:rPr>
                <w:rFonts w:ascii="Times New Roman" w:hAnsi="Times New Roman" w:cs="Times New Roman"/>
                <w:sz w:val="24"/>
                <w:szCs w:val="24"/>
                <w:lang w:val="en-GB"/>
              </w:rPr>
            </w:pPr>
          </w:p>
        </w:tc>
        <w:tc>
          <w:tcPr>
            <w:tcW w:w="4606" w:type="dxa"/>
          </w:tcPr>
          <w:p w:rsidR="00240B5F" w:rsidRDefault="00240B5F">
            <w:pPr>
              <w:rPr>
                <w:rFonts w:ascii="Times New Roman" w:hAnsi="Times New Roman" w:cs="Times New Roman"/>
                <w:sz w:val="24"/>
                <w:szCs w:val="24"/>
                <w:lang w:val="en-GB"/>
              </w:rPr>
            </w:pPr>
            <w:r>
              <w:rPr>
                <w:rFonts w:ascii="Times New Roman" w:hAnsi="Times New Roman" w:cs="Times New Roman"/>
                <w:sz w:val="24"/>
                <w:szCs w:val="24"/>
                <w:lang w:val="en-GB"/>
              </w:rPr>
              <w:t>it</w:t>
            </w:r>
          </w:p>
        </w:tc>
      </w:tr>
      <w:tr w:rsidR="00240B5F" w:rsidTr="00240B5F">
        <w:trPr>
          <w:trHeight w:val="470"/>
        </w:trPr>
        <w:tc>
          <w:tcPr>
            <w:tcW w:w="4606" w:type="dxa"/>
          </w:tcPr>
          <w:p w:rsidR="00240B5F" w:rsidRDefault="00240B5F">
            <w:pPr>
              <w:rPr>
                <w:rFonts w:ascii="Times New Roman" w:hAnsi="Times New Roman" w:cs="Times New Roman"/>
                <w:sz w:val="24"/>
                <w:szCs w:val="24"/>
                <w:lang w:val="en-GB"/>
              </w:rPr>
            </w:pPr>
          </w:p>
        </w:tc>
        <w:tc>
          <w:tcPr>
            <w:tcW w:w="4606" w:type="dxa"/>
          </w:tcPr>
          <w:p w:rsidR="00240B5F" w:rsidRDefault="00240B5F">
            <w:pPr>
              <w:rPr>
                <w:rFonts w:ascii="Times New Roman" w:hAnsi="Times New Roman" w:cs="Times New Roman"/>
                <w:sz w:val="24"/>
                <w:szCs w:val="24"/>
                <w:lang w:val="en-GB"/>
              </w:rPr>
            </w:pPr>
            <w:r>
              <w:rPr>
                <w:rFonts w:ascii="Times New Roman" w:hAnsi="Times New Roman" w:cs="Times New Roman"/>
                <w:sz w:val="24"/>
                <w:szCs w:val="24"/>
                <w:lang w:val="en-GB"/>
              </w:rPr>
              <w:t>these</w:t>
            </w:r>
          </w:p>
        </w:tc>
      </w:tr>
      <w:tr w:rsidR="00240B5F" w:rsidTr="00240B5F">
        <w:trPr>
          <w:trHeight w:val="474"/>
        </w:trPr>
        <w:tc>
          <w:tcPr>
            <w:tcW w:w="4606" w:type="dxa"/>
          </w:tcPr>
          <w:p w:rsidR="00240B5F" w:rsidRDefault="00240B5F">
            <w:pPr>
              <w:rPr>
                <w:rFonts w:ascii="Times New Roman" w:hAnsi="Times New Roman" w:cs="Times New Roman"/>
                <w:sz w:val="24"/>
                <w:szCs w:val="24"/>
                <w:lang w:val="en-GB"/>
              </w:rPr>
            </w:pPr>
          </w:p>
        </w:tc>
        <w:tc>
          <w:tcPr>
            <w:tcW w:w="4606" w:type="dxa"/>
          </w:tcPr>
          <w:p w:rsidR="00240B5F" w:rsidRDefault="00240B5F">
            <w:pPr>
              <w:rPr>
                <w:rFonts w:ascii="Times New Roman" w:hAnsi="Times New Roman" w:cs="Times New Roman"/>
                <w:sz w:val="24"/>
                <w:szCs w:val="24"/>
                <w:lang w:val="en-GB"/>
              </w:rPr>
            </w:pPr>
            <w:r>
              <w:rPr>
                <w:rFonts w:ascii="Times New Roman" w:hAnsi="Times New Roman" w:cs="Times New Roman"/>
                <w:sz w:val="24"/>
                <w:szCs w:val="24"/>
                <w:lang w:val="en-GB"/>
              </w:rPr>
              <w:t>this</w:t>
            </w:r>
          </w:p>
        </w:tc>
      </w:tr>
      <w:tr w:rsidR="00240B5F" w:rsidTr="00240B5F">
        <w:trPr>
          <w:trHeight w:val="605"/>
        </w:trPr>
        <w:tc>
          <w:tcPr>
            <w:tcW w:w="4606" w:type="dxa"/>
          </w:tcPr>
          <w:p w:rsidR="00240B5F" w:rsidRDefault="00240B5F">
            <w:pPr>
              <w:rPr>
                <w:rFonts w:ascii="Times New Roman" w:hAnsi="Times New Roman" w:cs="Times New Roman"/>
                <w:sz w:val="24"/>
                <w:szCs w:val="24"/>
                <w:lang w:val="en-GB"/>
              </w:rPr>
            </w:pPr>
          </w:p>
        </w:tc>
        <w:tc>
          <w:tcPr>
            <w:tcW w:w="4606" w:type="dxa"/>
          </w:tcPr>
          <w:p w:rsidR="00240B5F" w:rsidRDefault="00240B5F">
            <w:pPr>
              <w:rPr>
                <w:rFonts w:ascii="Times New Roman" w:hAnsi="Times New Roman" w:cs="Times New Roman"/>
                <w:sz w:val="24"/>
                <w:szCs w:val="24"/>
                <w:lang w:val="en-GB"/>
              </w:rPr>
            </w:pPr>
            <w:r>
              <w:rPr>
                <w:rFonts w:ascii="Times New Roman" w:hAnsi="Times New Roman" w:cs="Times New Roman"/>
                <w:sz w:val="24"/>
                <w:szCs w:val="24"/>
                <w:lang w:val="en-GB"/>
              </w:rPr>
              <w:t>these</w:t>
            </w:r>
          </w:p>
        </w:tc>
      </w:tr>
    </w:tbl>
    <w:p w:rsidR="00A42B17" w:rsidRPr="00240B5F" w:rsidRDefault="00A42B17">
      <w:pPr>
        <w:rPr>
          <w:rFonts w:ascii="Times New Roman" w:hAnsi="Times New Roman" w:cs="Times New Roman"/>
          <w:sz w:val="24"/>
          <w:szCs w:val="24"/>
          <w:lang w:val="en-GB"/>
        </w:rPr>
      </w:pPr>
    </w:p>
    <w:sectPr w:rsidR="00A42B17" w:rsidRPr="00240B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BE58AD"/>
    <w:rsid w:val="00240B5F"/>
    <w:rsid w:val="00A42B17"/>
    <w:rsid w:val="00BE58AD"/>
    <w:rsid w:val="00D841B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40B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186</Words>
  <Characters>1063</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 Can</dc:creator>
  <cp:keywords/>
  <dc:description/>
  <cp:lastModifiedBy>Bilal Can</cp:lastModifiedBy>
  <cp:revision>2</cp:revision>
  <dcterms:created xsi:type="dcterms:W3CDTF">2014-11-26T20:55:00Z</dcterms:created>
  <dcterms:modified xsi:type="dcterms:W3CDTF">2014-11-26T21:40:00Z</dcterms:modified>
</cp:coreProperties>
</file>